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AB" w:rsidRPr="00247303" w:rsidRDefault="001111AB" w:rsidP="001111AB">
      <w:pPr>
        <w:pStyle w:val="NormaleWeb"/>
        <w:shd w:val="clear" w:color="auto" w:fill="D3D3D3"/>
        <w:spacing w:before="0" w:beforeAutospacing="0" w:after="0" w:afterAutospacing="0"/>
        <w:jc w:val="both"/>
        <w:rPr>
          <w:rFonts w:ascii="Arial" w:hAnsi="Arial" w:cs="Arial"/>
          <w:sz w:val="22"/>
          <w:szCs w:val="22"/>
        </w:rPr>
      </w:pPr>
      <w:r>
        <w:t> </w:t>
      </w:r>
      <w:r>
        <w:rPr>
          <w:rFonts w:ascii="Arial" w:hAnsi="Arial" w:cs="Arial"/>
          <w:b/>
          <w:bCs/>
          <w:color w:val="000000"/>
          <w:sz w:val="22"/>
          <w:szCs w:val="22"/>
        </w:rPr>
        <w:t xml:space="preserve"> </w:t>
      </w:r>
    </w:p>
    <w:p w:rsidR="00247303" w:rsidRDefault="001111AB">
      <w:pPr>
        <w:rPr>
          <w:rFonts w:ascii="Arial" w:hAnsi="Arial" w:cs="Arial"/>
          <w:b/>
        </w:rPr>
      </w:pPr>
      <w:r w:rsidRPr="00247303">
        <w:rPr>
          <w:rFonts w:ascii="Arial" w:hAnsi="Arial" w:cs="Arial"/>
          <w:b/>
        </w:rPr>
        <w:t xml:space="preserve">I PERCORSI DI ISTRUZIONE DEGLI ADULTI (ex corsi serali) </w:t>
      </w:r>
    </w:p>
    <w:p w:rsidR="00247303" w:rsidRPr="00247303" w:rsidRDefault="00164C3A" w:rsidP="00247303">
      <w:pPr>
        <w:rPr>
          <w:rFonts w:ascii="Arial" w:hAnsi="Arial" w:cs="Arial"/>
        </w:rPr>
      </w:pPr>
      <w:r>
        <w:rPr>
          <w:rFonts w:ascii="Arial" w:hAnsi="Arial" w:cs="Arial"/>
        </w:rPr>
        <w:t>I percorsi di istruzione degli adulti n</w:t>
      </w:r>
      <w:r w:rsidR="001111AB" w:rsidRPr="00247303">
        <w:rPr>
          <w:rFonts w:ascii="Arial" w:hAnsi="Arial" w:cs="Arial"/>
        </w:rPr>
        <w:t>ascono dall’esigenza di soddisfare, in modo adeguato, i nuovi bisogni formativi espressi dalla società ricorrendo ad efficaci forme di educazione permanente</w:t>
      </w:r>
      <w:r w:rsidR="00247303">
        <w:rPr>
          <w:rFonts w:ascii="Arial" w:hAnsi="Arial" w:cs="Arial"/>
        </w:rPr>
        <w:t xml:space="preserve"> </w:t>
      </w:r>
      <w:r>
        <w:rPr>
          <w:rFonts w:ascii="Arial" w:hAnsi="Arial" w:cs="Arial"/>
        </w:rPr>
        <w:t xml:space="preserve">Consentono, altresì, </w:t>
      </w:r>
      <w:r w:rsidR="00247303" w:rsidRPr="00247303">
        <w:rPr>
          <w:rFonts w:ascii="Arial" w:hAnsi="Arial" w:cs="Arial"/>
        </w:rPr>
        <w:t>il rientro nel percorso formativo a tutti coloro che vogliono riprendere gli studi abbandonati o interrotti per diversi motivi oppure a chi vuole o ha bisogno di migliorare la propria condizione sociale e professionale.</w:t>
      </w:r>
    </w:p>
    <w:p w:rsidR="000D7527" w:rsidRPr="00247303" w:rsidRDefault="00247303" w:rsidP="00247303">
      <w:pPr>
        <w:rPr>
          <w:rFonts w:ascii="Arial" w:hAnsi="Arial" w:cs="Arial"/>
        </w:rPr>
      </w:pPr>
      <w:r w:rsidRPr="00247303">
        <w:rPr>
          <w:rFonts w:ascii="Arial" w:hAnsi="Arial" w:cs="Arial"/>
        </w:rPr>
        <w:t>L'Istruzione per Adulti favorisce inoltre l'integrazione degli adulti stranieri, spesso portatori di una scolarità medio-alta nei propri paesi d'origine, ma i cui titoli di studio non sono riconosciuti dal nostro ordinamento scolastico, permettendo loro di acquisire specifiche competenze tecniche, spendibili anche nel nostro Paese e fornendo quegli strumenti per una migliore integrazione culturale, sociale nonché linguistica.</w:t>
      </w:r>
    </w:p>
    <w:p w:rsidR="001111AB" w:rsidRPr="00247303" w:rsidRDefault="001111AB">
      <w:pPr>
        <w:rPr>
          <w:rFonts w:ascii="Arial" w:hAnsi="Arial" w:cs="Arial"/>
        </w:rPr>
      </w:pPr>
      <w:r w:rsidRPr="00247303">
        <w:rPr>
          <w:rFonts w:ascii="Arial" w:hAnsi="Arial" w:cs="Arial"/>
        </w:rPr>
        <w:t>Essi si rivolgono:</w:t>
      </w:r>
    </w:p>
    <w:p w:rsidR="001111AB" w:rsidRDefault="0033583C" w:rsidP="00954842">
      <w:pPr>
        <w:pStyle w:val="Paragrafoelenco"/>
        <w:numPr>
          <w:ilvl w:val="0"/>
          <w:numId w:val="2"/>
        </w:numPr>
        <w:rPr>
          <w:rFonts w:ascii="Arial" w:hAnsi="Arial" w:cs="Arial"/>
        </w:rPr>
      </w:pPr>
      <w:r>
        <w:rPr>
          <w:rFonts w:ascii="Arial" w:hAnsi="Arial" w:cs="Arial"/>
        </w:rPr>
        <w:t>A</w:t>
      </w:r>
      <w:r w:rsidR="001111AB" w:rsidRPr="00247303">
        <w:rPr>
          <w:rFonts w:ascii="Arial" w:hAnsi="Arial" w:cs="Arial"/>
        </w:rPr>
        <w:t>dulti che hanno interrotto gli studi offrendo loro la possibilità di riavvicinarsi alla scuola</w:t>
      </w:r>
    </w:p>
    <w:p w:rsidR="0033583C" w:rsidRPr="00247303" w:rsidRDefault="0033583C" w:rsidP="0033583C">
      <w:pPr>
        <w:pStyle w:val="Paragrafoelenco"/>
        <w:ind w:left="360"/>
        <w:rPr>
          <w:rFonts w:ascii="Arial" w:hAnsi="Arial" w:cs="Arial"/>
        </w:rPr>
      </w:pPr>
    </w:p>
    <w:p w:rsidR="0033583C" w:rsidRDefault="0033583C" w:rsidP="0033583C">
      <w:pPr>
        <w:pStyle w:val="Paragrafoelenco"/>
        <w:numPr>
          <w:ilvl w:val="0"/>
          <w:numId w:val="2"/>
        </w:numPr>
        <w:rPr>
          <w:rFonts w:ascii="Arial" w:hAnsi="Arial" w:cs="Arial"/>
        </w:rPr>
      </w:pPr>
      <w:r>
        <w:rPr>
          <w:rFonts w:ascii="Arial" w:hAnsi="Arial" w:cs="Arial"/>
        </w:rPr>
        <w:t xml:space="preserve"> G</w:t>
      </w:r>
      <w:r w:rsidR="001111AB" w:rsidRPr="00247303">
        <w:rPr>
          <w:rFonts w:ascii="Arial" w:hAnsi="Arial" w:cs="Arial"/>
        </w:rPr>
        <w:t>iovani e adulti privi di una professionalità aggiornata offrendo loro più agili e nuove forme di qualificazione</w:t>
      </w:r>
    </w:p>
    <w:p w:rsidR="0033583C" w:rsidRPr="0033583C" w:rsidRDefault="0033583C" w:rsidP="0033583C">
      <w:pPr>
        <w:pStyle w:val="Paragrafoelenco"/>
        <w:rPr>
          <w:rFonts w:ascii="Arial" w:hAnsi="Arial" w:cs="Arial"/>
        </w:rPr>
      </w:pPr>
    </w:p>
    <w:p w:rsidR="001111AB" w:rsidRPr="0033583C" w:rsidRDefault="0033583C" w:rsidP="0033583C">
      <w:pPr>
        <w:pStyle w:val="Paragrafoelenco"/>
        <w:numPr>
          <w:ilvl w:val="0"/>
          <w:numId w:val="2"/>
        </w:numPr>
        <w:rPr>
          <w:rFonts w:ascii="Arial" w:hAnsi="Arial" w:cs="Arial"/>
        </w:rPr>
      </w:pPr>
      <w:r w:rsidRPr="0033583C">
        <w:rPr>
          <w:rFonts w:ascii="Arial" w:hAnsi="Arial" w:cs="Arial"/>
        </w:rPr>
        <w:t>A</w:t>
      </w:r>
      <w:r w:rsidR="001111AB" w:rsidRPr="0033583C">
        <w:rPr>
          <w:rFonts w:ascii="Arial" w:hAnsi="Arial" w:cs="Arial"/>
        </w:rPr>
        <w:t>dulti già inseriti in attività lavorative, che vogliano ripensare o debbano ricomporre la loro identità professionale</w:t>
      </w:r>
    </w:p>
    <w:p w:rsidR="00954842" w:rsidRPr="00954842" w:rsidRDefault="00954842" w:rsidP="00954842">
      <w:pPr>
        <w:numPr>
          <w:ilvl w:val="0"/>
          <w:numId w:val="2"/>
        </w:numPr>
        <w:shd w:val="clear" w:color="auto" w:fill="FFFFFF"/>
        <w:spacing w:after="150" w:line="300" w:lineRule="atLeast"/>
        <w:ind w:right="675"/>
        <w:rPr>
          <w:rFonts w:ascii="Arial" w:eastAsia="Times New Roman" w:hAnsi="Arial" w:cs="Arial"/>
          <w:color w:val="333333"/>
          <w:lang w:eastAsia="it-IT"/>
        </w:rPr>
      </w:pPr>
      <w:r w:rsidRPr="00954842">
        <w:rPr>
          <w:rFonts w:ascii="Arial" w:eastAsia="Times New Roman" w:hAnsi="Arial" w:cs="Arial"/>
          <w:color w:val="333333"/>
          <w:lang w:eastAsia="it-IT"/>
        </w:rPr>
        <w:t>Adulti, anche stranieri, che sono in possesso del titolo di studio conclusivo del primo ciclo di istruzione e che intendono conseguire titolo di studio conclusivo del secondo ciclo di istruzione</w:t>
      </w:r>
    </w:p>
    <w:p w:rsidR="00954842" w:rsidRDefault="0033583C" w:rsidP="00954842">
      <w:pPr>
        <w:numPr>
          <w:ilvl w:val="0"/>
          <w:numId w:val="2"/>
        </w:numPr>
        <w:shd w:val="clear" w:color="auto" w:fill="FFFFFF"/>
        <w:spacing w:after="150" w:line="300" w:lineRule="atLeast"/>
        <w:ind w:right="675"/>
        <w:rPr>
          <w:rFonts w:ascii="Arial" w:eastAsia="Times New Roman" w:hAnsi="Arial" w:cs="Arial"/>
          <w:color w:val="333333"/>
          <w:lang w:eastAsia="it-IT"/>
        </w:rPr>
      </w:pPr>
      <w:r>
        <w:rPr>
          <w:rFonts w:ascii="Arial" w:eastAsia="Times New Roman" w:hAnsi="Arial" w:cs="Arial"/>
          <w:color w:val="333333"/>
          <w:lang w:eastAsia="it-IT"/>
        </w:rPr>
        <w:t xml:space="preserve"> Gi</w:t>
      </w:r>
      <w:r w:rsidR="00954842" w:rsidRPr="00954842">
        <w:rPr>
          <w:rFonts w:ascii="Arial" w:eastAsia="Times New Roman" w:hAnsi="Arial" w:cs="Arial"/>
          <w:color w:val="333333"/>
          <w:lang w:eastAsia="it-IT"/>
        </w:rPr>
        <w:t>ovani che hanno compiuto i 16 anni di età e che, in possesso del titolo di studio conclusivo del primo ciclo di istruzione, dimostrano di non poter frequentare i corsi diurni</w:t>
      </w:r>
    </w:p>
    <w:p w:rsidR="0033583C" w:rsidRPr="00247303" w:rsidRDefault="0033583C" w:rsidP="0033583C">
      <w:pPr>
        <w:shd w:val="clear" w:color="auto" w:fill="FFFFFF"/>
        <w:spacing w:after="150" w:line="300" w:lineRule="atLeast"/>
        <w:ind w:left="360" w:right="675"/>
        <w:rPr>
          <w:rFonts w:ascii="Arial" w:eastAsia="Times New Roman" w:hAnsi="Arial" w:cs="Arial"/>
          <w:color w:val="333333"/>
          <w:lang w:eastAsia="it-IT"/>
        </w:rPr>
      </w:pPr>
    </w:p>
    <w:p w:rsidR="00954842" w:rsidRPr="00247303" w:rsidRDefault="00954842" w:rsidP="00954842">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L’assetto organizzativo e didattico dell’istruzione per adulti è stato ridefinito dal DPR 29/10/2012, n. 263 e dal Decreto Interministeriale 12/03/2015.  L’aspetto innovativo del nuovo sistema è la valorizzazione del patrimonio culturale e professionale della persona a partire dalla ricostruzione della sua storia individuale. Infatti i percorsi di istruzione sono personalizzati sulla base di un Patto Formativo Individuale che tiene conto dei saperi e delle competenze formali, non formali e informali posseduti dall’adulto.</w:t>
      </w:r>
    </w:p>
    <w:p w:rsidR="00954842" w:rsidRPr="00247303" w:rsidRDefault="00954842" w:rsidP="00954842">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w:t>
      </w:r>
    </w:p>
    <w:p w:rsidR="00954842" w:rsidRDefault="00954842" w:rsidP="00954842">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Presso la nostra Scuola sono attivi i seguenti percorsi:</w:t>
      </w:r>
    </w:p>
    <w:p w:rsidR="00164C3A" w:rsidRPr="00164C3A" w:rsidRDefault="00164C3A" w:rsidP="00164C3A">
      <w:pPr>
        <w:pStyle w:val="Paragrafoelenco"/>
        <w:numPr>
          <w:ilvl w:val="0"/>
          <w:numId w:val="3"/>
        </w:numPr>
        <w:shd w:val="clear" w:color="auto" w:fill="FFFFFF"/>
        <w:spacing w:after="150" w:line="300" w:lineRule="atLeast"/>
        <w:ind w:right="675"/>
        <w:rPr>
          <w:rFonts w:ascii="Arial" w:eastAsia="Times New Roman" w:hAnsi="Arial" w:cs="Arial"/>
          <w:b/>
          <w:color w:val="333333"/>
          <w:lang w:eastAsia="it-IT"/>
        </w:rPr>
      </w:pPr>
      <w:r w:rsidRPr="00164C3A">
        <w:rPr>
          <w:rFonts w:ascii="Arial" w:eastAsia="Times New Roman" w:hAnsi="Arial" w:cs="Arial"/>
          <w:b/>
          <w:color w:val="333333"/>
          <w:lang w:eastAsia="it-IT"/>
        </w:rPr>
        <w:t>Conduzione degli apparati e impianti marittimi- opzione-macchinisti</w:t>
      </w:r>
    </w:p>
    <w:p w:rsidR="00164C3A" w:rsidRPr="00164C3A" w:rsidRDefault="00164C3A" w:rsidP="00164C3A">
      <w:pPr>
        <w:pStyle w:val="Paragrafoelenco"/>
        <w:numPr>
          <w:ilvl w:val="0"/>
          <w:numId w:val="3"/>
        </w:numPr>
        <w:shd w:val="clear" w:color="auto" w:fill="FFFFFF"/>
        <w:spacing w:after="150" w:line="300" w:lineRule="atLeast"/>
        <w:ind w:right="675"/>
        <w:rPr>
          <w:rFonts w:ascii="Arial" w:eastAsia="Times New Roman" w:hAnsi="Arial" w:cs="Arial"/>
          <w:b/>
          <w:color w:val="333333"/>
          <w:lang w:eastAsia="it-IT"/>
        </w:rPr>
      </w:pPr>
      <w:r w:rsidRPr="00164C3A">
        <w:rPr>
          <w:rFonts w:ascii="Arial" w:eastAsia="Times New Roman" w:hAnsi="Arial" w:cs="Arial"/>
          <w:b/>
          <w:color w:val="333333"/>
          <w:lang w:eastAsia="it-IT"/>
        </w:rPr>
        <w:t xml:space="preserve">Logistica </w:t>
      </w:r>
    </w:p>
    <w:p w:rsidR="00E93FB9" w:rsidRPr="00247303" w:rsidRDefault="00E93FB9" w:rsidP="00954842">
      <w:pPr>
        <w:shd w:val="clear" w:color="auto" w:fill="FFFFFF"/>
        <w:spacing w:after="150" w:line="300" w:lineRule="atLeast"/>
        <w:ind w:left="720" w:right="675"/>
        <w:rPr>
          <w:rFonts w:ascii="Arial" w:eastAsia="Times New Roman" w:hAnsi="Arial" w:cs="Arial"/>
          <w:color w:val="333333"/>
          <w:lang w:eastAsia="it-IT"/>
        </w:rPr>
      </w:pPr>
    </w:p>
    <w:p w:rsidR="00E93FB9" w:rsidRPr="00247303" w:rsidRDefault="00E93FB9" w:rsidP="00954842">
      <w:pPr>
        <w:shd w:val="clear" w:color="auto" w:fill="FFFFFF"/>
        <w:spacing w:after="150" w:line="300" w:lineRule="atLeast"/>
        <w:ind w:left="720" w:right="675"/>
        <w:rPr>
          <w:rFonts w:ascii="Arial" w:eastAsia="Times New Roman" w:hAnsi="Arial" w:cs="Arial"/>
          <w:color w:val="333333"/>
          <w:lang w:eastAsia="it-IT"/>
        </w:rPr>
      </w:pPr>
    </w:p>
    <w:p w:rsidR="00E93FB9" w:rsidRPr="00247303" w:rsidRDefault="00E93FB9" w:rsidP="00954842">
      <w:pPr>
        <w:shd w:val="clear" w:color="auto" w:fill="FFFFFF"/>
        <w:spacing w:after="150" w:line="300" w:lineRule="atLeast"/>
        <w:ind w:left="720" w:right="675"/>
        <w:rPr>
          <w:rFonts w:ascii="Arial" w:eastAsia="Times New Roman" w:hAnsi="Arial" w:cs="Arial"/>
          <w:color w:val="333333"/>
          <w:lang w:eastAsia="it-IT"/>
        </w:rPr>
      </w:pPr>
    </w:p>
    <w:p w:rsidR="00E93FB9" w:rsidRPr="00247303" w:rsidRDefault="00E93FB9" w:rsidP="00954842">
      <w:pPr>
        <w:shd w:val="clear" w:color="auto" w:fill="FFFFFF"/>
        <w:spacing w:after="150" w:line="300" w:lineRule="atLeast"/>
        <w:ind w:left="720" w:right="675"/>
        <w:rPr>
          <w:rFonts w:ascii="Arial" w:eastAsia="Times New Roman" w:hAnsi="Arial" w:cs="Arial"/>
          <w:color w:val="333333"/>
          <w:lang w:eastAsia="it-IT"/>
        </w:rPr>
      </w:pPr>
    </w:p>
    <w:p w:rsidR="00E93FB9" w:rsidRPr="00247303" w:rsidRDefault="00E93FB9" w:rsidP="00E93FB9">
      <w:pPr>
        <w:shd w:val="clear" w:color="auto" w:fill="FFFFFF"/>
        <w:spacing w:after="150" w:line="300" w:lineRule="atLeast"/>
        <w:ind w:left="720" w:right="675"/>
        <w:jc w:val="center"/>
        <w:rPr>
          <w:rFonts w:ascii="Arial" w:eastAsia="Times New Roman" w:hAnsi="Arial" w:cs="Arial"/>
          <w:b/>
          <w:color w:val="333333"/>
          <w:lang w:eastAsia="it-IT"/>
        </w:rPr>
      </w:pPr>
      <w:r w:rsidRPr="00247303">
        <w:rPr>
          <w:rFonts w:ascii="Arial" w:eastAsia="Times New Roman" w:hAnsi="Arial" w:cs="Arial"/>
          <w:b/>
          <w:color w:val="333333"/>
          <w:lang w:eastAsia="it-IT"/>
        </w:rPr>
        <w:lastRenderedPageBreak/>
        <w:t>Iscrizioni</w:t>
      </w:r>
    </w:p>
    <w:p w:rsidR="00E93FB9" w:rsidRPr="00247303" w:rsidRDefault="0033583C" w:rsidP="00E93FB9">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L</w:t>
      </w:r>
      <w:r w:rsidR="00E93FB9" w:rsidRPr="00247303">
        <w:rPr>
          <w:rFonts w:ascii="Arial" w:eastAsia="Times New Roman" w:hAnsi="Arial" w:cs="Arial"/>
          <w:color w:val="333333"/>
          <w:lang w:eastAsia="it-IT"/>
        </w:rPr>
        <w:t xml:space="preserve"> termine di scadenza per le iscrizioni è fissato di norma al 31 maggio e comunque non oltre il 15 ottobre. Il Dirigente scolastico valuta la possibilità di iscrizione in corso d’anno.</w:t>
      </w:r>
    </w:p>
    <w:p w:rsidR="00E93FB9" w:rsidRPr="00247303" w:rsidRDefault="00E93FB9" w:rsidP="00E93FB9">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Il materiale per l’iscrizione può essere ritirato presso la Segreteria Didattica dell’Istituto anche in orario diurno.</w:t>
      </w:r>
    </w:p>
    <w:p w:rsidR="00E93FB9" w:rsidRPr="00247303" w:rsidRDefault="00E93FB9" w:rsidP="00E93FB9">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Per ulteriori informazioni si può contattare:</w:t>
      </w:r>
    </w:p>
    <w:p w:rsidR="001665D1" w:rsidRPr="00247303" w:rsidRDefault="001665D1" w:rsidP="00E93FB9">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La Coordinatrice dei Corsi Serali,</w:t>
      </w:r>
    </w:p>
    <w:p w:rsidR="001665D1" w:rsidRPr="00247303" w:rsidRDefault="001665D1" w:rsidP="00E93FB9">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L’Ufficio di Segreteria – indirizzo mail                                     – telefono</w:t>
      </w:r>
    </w:p>
    <w:p w:rsidR="001665D1" w:rsidRPr="00247303" w:rsidRDefault="001665D1" w:rsidP="00E93FB9">
      <w:pPr>
        <w:shd w:val="clear" w:color="auto" w:fill="FFFFFF"/>
        <w:spacing w:after="150" w:line="300" w:lineRule="atLeast"/>
        <w:ind w:left="720" w:right="675"/>
        <w:rPr>
          <w:rFonts w:ascii="Arial" w:eastAsia="Times New Roman" w:hAnsi="Arial" w:cs="Arial"/>
          <w:color w:val="333333"/>
          <w:lang w:eastAsia="it-IT"/>
        </w:rPr>
      </w:pPr>
    </w:p>
    <w:p w:rsidR="001665D1" w:rsidRPr="0033583C" w:rsidRDefault="001665D1" w:rsidP="001665D1">
      <w:pPr>
        <w:shd w:val="clear" w:color="auto" w:fill="FFFFFF"/>
        <w:spacing w:after="150" w:line="300" w:lineRule="atLeast"/>
        <w:ind w:left="720" w:right="675"/>
        <w:rPr>
          <w:rFonts w:ascii="Arial" w:eastAsia="Times New Roman" w:hAnsi="Arial" w:cs="Arial"/>
          <w:b/>
          <w:color w:val="333333"/>
          <w:lang w:eastAsia="it-IT"/>
        </w:rPr>
      </w:pPr>
      <w:r w:rsidRPr="0033583C">
        <w:rPr>
          <w:rFonts w:ascii="Arial" w:eastAsia="Times New Roman" w:hAnsi="Arial" w:cs="Arial"/>
          <w:b/>
          <w:color w:val="333333"/>
          <w:lang w:eastAsia="it-IT"/>
        </w:rPr>
        <w:t>CARATTERISTICHE DEI PERCORSI FORMATIVI</w:t>
      </w:r>
    </w:p>
    <w:p w:rsidR="00954842" w:rsidRPr="0033583C" w:rsidRDefault="001665D1" w:rsidP="001665D1">
      <w:pPr>
        <w:shd w:val="clear" w:color="auto" w:fill="FFFFFF"/>
        <w:spacing w:after="150" w:line="300" w:lineRule="atLeast"/>
        <w:ind w:left="720" w:right="675"/>
        <w:rPr>
          <w:rFonts w:ascii="Arial" w:eastAsia="Times New Roman" w:hAnsi="Arial" w:cs="Arial"/>
          <w:b/>
          <w:color w:val="333333"/>
          <w:lang w:eastAsia="it-IT"/>
        </w:rPr>
      </w:pPr>
      <w:r w:rsidRPr="0033583C">
        <w:rPr>
          <w:rFonts w:ascii="Arial" w:eastAsia="Times New Roman" w:hAnsi="Arial" w:cs="Arial"/>
          <w:b/>
          <w:color w:val="333333"/>
          <w:lang w:eastAsia="it-IT"/>
        </w:rPr>
        <w:t>PERCORSI FLESSIBILI E MODULARI</w:t>
      </w:r>
    </w:p>
    <w:p w:rsidR="001665D1" w:rsidRPr="0033583C" w:rsidRDefault="001665D1" w:rsidP="0033583C">
      <w:pPr>
        <w:shd w:val="clear" w:color="auto" w:fill="FFFFFF"/>
        <w:spacing w:after="150" w:line="300" w:lineRule="atLeast"/>
        <w:ind w:left="720" w:right="675"/>
        <w:rPr>
          <w:rFonts w:ascii="Arial" w:eastAsia="Times New Roman" w:hAnsi="Arial" w:cs="Arial"/>
          <w:b/>
          <w:color w:val="333333"/>
          <w:lang w:eastAsia="it-IT"/>
        </w:rPr>
      </w:pPr>
      <w:r w:rsidRPr="0033583C">
        <w:rPr>
          <w:rFonts w:ascii="Arial" w:eastAsia="Times New Roman" w:hAnsi="Arial" w:cs="Arial"/>
          <w:b/>
          <w:color w:val="333333"/>
          <w:lang w:eastAsia="it-IT"/>
        </w:rPr>
        <w:t>ORGANIZZAZIONE DELLA DIDATTICA</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La didattica per competenze Istruzione di secondo livello – IDA</w:t>
      </w:r>
    </w:p>
    <w:p w:rsidR="001665D1" w:rsidRPr="00247303" w:rsidRDefault="001665D1" w:rsidP="00164C3A">
      <w:pPr>
        <w:shd w:val="clear" w:color="auto" w:fill="FFFFFF"/>
        <w:spacing w:after="150" w:line="300" w:lineRule="atLeast"/>
        <w:ind w:right="675"/>
        <w:rPr>
          <w:rFonts w:ascii="Arial" w:eastAsia="Times New Roman" w:hAnsi="Arial" w:cs="Arial"/>
          <w:color w:val="333333"/>
          <w:lang w:eastAsia="it-IT"/>
        </w:rPr>
      </w:pPr>
      <w:r w:rsidRPr="00247303">
        <w:rPr>
          <w:rFonts w:ascii="Arial" w:eastAsia="Times New Roman" w:hAnsi="Arial" w:cs="Arial"/>
          <w:color w:val="333333"/>
          <w:lang w:eastAsia="it-IT"/>
        </w:rPr>
        <w:t>Seguendo le linee guida del MIUR, per l’Istruzione Degli Adulti è stata introdotta la didattica per competenze. La programmazione didattica per competenze vede lo studente e il docente impegnati nell’acquisizione di abilità e conoscenze finalizzate non solo al successo scolastico, ma che prevedano una reale applicabilità in campo operativo mediante situazioni problematiche incentrate su casi reali. Trattasi di una programmazione per Unità Didattiche di Apprendimento (UdA) centrate su competenze di materia, trasversali, pluridisciplinari e percorsi modulari.</w:t>
      </w:r>
      <w:r w:rsidR="0033583C" w:rsidRPr="0033583C">
        <w:t xml:space="preserve"> Il superamento del modulo determina un credito che permette allo studente di non essere più sottoposto a verifica delle stesse competenze nell’anno in corso o nell’anno successivo, qualora dovesse ripetere la classe.</w:t>
      </w:r>
    </w:p>
    <w:p w:rsidR="001665D1" w:rsidRPr="00247303" w:rsidRDefault="001665D1" w:rsidP="0033583C">
      <w:pPr>
        <w:shd w:val="clear" w:color="auto" w:fill="FFFFFF"/>
        <w:spacing w:after="150" w:line="300" w:lineRule="atLeast"/>
        <w:ind w:right="675"/>
        <w:rPr>
          <w:rFonts w:ascii="Arial" w:eastAsia="Times New Roman" w:hAnsi="Arial" w:cs="Arial"/>
          <w:color w:val="333333"/>
          <w:lang w:eastAsia="it-IT"/>
        </w:rPr>
      </w:pPr>
      <w:r w:rsidRPr="00247303">
        <w:rPr>
          <w:rFonts w:ascii="Arial" w:eastAsia="Times New Roman" w:hAnsi="Arial" w:cs="Arial"/>
          <w:color w:val="333333"/>
          <w:lang w:eastAsia="it-IT"/>
        </w:rPr>
        <w:t>.</w:t>
      </w:r>
    </w:p>
    <w:p w:rsidR="001665D1" w:rsidRPr="0033583C" w:rsidRDefault="001665D1" w:rsidP="0033583C">
      <w:pPr>
        <w:shd w:val="clear" w:color="auto" w:fill="FFFFFF"/>
        <w:spacing w:after="150" w:line="300" w:lineRule="atLeast"/>
        <w:ind w:right="675"/>
        <w:rPr>
          <w:rFonts w:ascii="Arial" w:eastAsia="Times New Roman" w:hAnsi="Arial" w:cs="Arial"/>
          <w:b/>
          <w:color w:val="333333"/>
          <w:lang w:eastAsia="it-IT"/>
        </w:rPr>
      </w:pPr>
      <w:r w:rsidRPr="0033583C">
        <w:rPr>
          <w:rFonts w:ascii="Arial" w:eastAsia="Times New Roman" w:hAnsi="Arial" w:cs="Arial"/>
          <w:b/>
          <w:color w:val="333333"/>
          <w:lang w:eastAsia="it-IT"/>
        </w:rPr>
        <w:t>PIANI DI STUDIO PERSONALIZZATI PER GLI ADULTI</w:t>
      </w:r>
    </w:p>
    <w:p w:rsidR="001665D1" w:rsidRPr="00247303" w:rsidRDefault="001665D1" w:rsidP="0033583C">
      <w:pPr>
        <w:shd w:val="clear" w:color="auto" w:fill="FFFFFF"/>
        <w:spacing w:after="150" w:line="300" w:lineRule="atLeast"/>
        <w:ind w:right="675"/>
        <w:rPr>
          <w:rFonts w:ascii="Arial" w:eastAsia="Times New Roman" w:hAnsi="Arial" w:cs="Arial"/>
          <w:color w:val="333333"/>
          <w:lang w:eastAsia="it-IT"/>
        </w:rPr>
      </w:pPr>
      <w:r w:rsidRPr="00247303">
        <w:rPr>
          <w:rFonts w:ascii="Arial" w:eastAsia="Times New Roman" w:hAnsi="Arial" w:cs="Arial"/>
          <w:color w:val="333333"/>
          <w:lang w:eastAsia="it-IT"/>
        </w:rPr>
        <w:t>Ad ogni studente-lavoratore viene offerto un Patto Formativo Individualizzato, modellato sulla base dei percorsi formativi individuali pregressi e che tiene conto delle esperienze lavorative e didattiche maturate dagli studenti nel corso degli anni precedenti. In caso di accertate competenze professionalizzanti, sarà anche possibile ridefinire il monte ore individuale di ciascuno studente.</w:t>
      </w:r>
    </w:p>
    <w:p w:rsidR="001665D1" w:rsidRPr="0033583C" w:rsidRDefault="001665D1" w:rsidP="001665D1">
      <w:pPr>
        <w:shd w:val="clear" w:color="auto" w:fill="FFFFFF"/>
        <w:spacing w:after="150" w:line="300" w:lineRule="atLeast"/>
        <w:ind w:left="720" w:right="675"/>
        <w:rPr>
          <w:rFonts w:ascii="Arial" w:eastAsia="Times New Roman" w:hAnsi="Arial" w:cs="Arial"/>
          <w:b/>
          <w:color w:val="333333"/>
          <w:lang w:eastAsia="it-IT"/>
        </w:rPr>
      </w:pPr>
      <w:r w:rsidRPr="0033583C">
        <w:rPr>
          <w:rFonts w:ascii="Arial" w:eastAsia="Times New Roman" w:hAnsi="Arial" w:cs="Arial"/>
          <w:b/>
          <w:color w:val="333333"/>
          <w:lang w:eastAsia="it-IT"/>
        </w:rPr>
        <w:t>RICONOSCIMENTO DEI CREDITI FORMATIVI</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I crediti formativi costituiscono il riconoscimento di competenze già possedute dagli studenti.</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Si distinguono in:</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A.  Crediti Formali: studi compiuti e certificati da titoli conseguiti in istituti statali e/o legalmente riconosciuti</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lastRenderedPageBreak/>
        <w:t>B.  Crediti non Formali: esperienze maturate in ambito lavorativo o in ogni organismo che persegua scopi educativi e formativi, anche del volontariato, del servizio civile nazionale e del privato sociale e nelle imprese.</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C.  Crediti Informali: apprendimenti che si realizzano nello svolgimento, da parte di ogni persona, di attività nelle situazioni di vita quotidiana nell'ambito del contesto di lavoro, familiare e del tempo libero.</w:t>
      </w:r>
    </w:p>
    <w:p w:rsidR="001665D1" w:rsidRPr="00247303" w:rsidRDefault="001665D1" w:rsidP="001665D1">
      <w:pPr>
        <w:shd w:val="clear" w:color="auto" w:fill="FFFFFF"/>
        <w:spacing w:after="150" w:line="300" w:lineRule="atLeast"/>
        <w:ind w:left="720" w:right="675"/>
        <w:rPr>
          <w:rFonts w:ascii="Arial" w:eastAsia="Times New Roman" w:hAnsi="Arial" w:cs="Arial"/>
          <w:color w:val="333333"/>
          <w:lang w:eastAsia="it-IT"/>
        </w:rPr>
      </w:pPr>
      <w:r w:rsidRPr="00247303">
        <w:rPr>
          <w:rFonts w:ascii="Arial" w:eastAsia="Times New Roman" w:hAnsi="Arial" w:cs="Arial"/>
          <w:color w:val="333333"/>
          <w:lang w:eastAsia="it-IT"/>
        </w:rPr>
        <w:t>Il riconoscimento dei crediti è automatico nel primo caso mentre richiede una valutazione del Consiglio di</w:t>
      </w:r>
      <w:r w:rsidRPr="00247303">
        <w:rPr>
          <w:rFonts w:ascii="Arial" w:eastAsia="Times New Roman" w:hAnsi="Arial" w:cs="Arial"/>
          <w:color w:val="333333"/>
          <w:lang w:eastAsia="it-IT"/>
        </w:rPr>
        <w:t xml:space="preserve"> nei casi successivi e comporta l’esonero dalla frequenza di una o più discipline.</w:t>
      </w:r>
    </w:p>
    <w:p w:rsidR="00247303" w:rsidRPr="00954842" w:rsidRDefault="00247303" w:rsidP="001665D1">
      <w:pPr>
        <w:shd w:val="clear" w:color="auto" w:fill="FFFFFF"/>
        <w:spacing w:after="150" w:line="300" w:lineRule="atLeast"/>
        <w:ind w:left="720" w:right="675"/>
        <w:rPr>
          <w:rFonts w:ascii="Arial" w:eastAsia="Times New Roman" w:hAnsi="Arial" w:cs="Arial"/>
          <w:color w:val="333333"/>
          <w:lang w:eastAsia="it-IT"/>
        </w:rPr>
      </w:pPr>
    </w:p>
    <w:p w:rsidR="00247303" w:rsidRPr="00247303" w:rsidRDefault="00247303" w:rsidP="00247303">
      <w:pPr>
        <w:rPr>
          <w:rFonts w:ascii="Arial" w:hAnsi="Arial" w:cs="Arial"/>
        </w:rPr>
      </w:pPr>
      <w:r w:rsidRPr="0033583C">
        <w:rPr>
          <w:rFonts w:ascii="Arial" w:hAnsi="Arial" w:cs="Arial"/>
          <w:b/>
        </w:rPr>
        <w:t>FREQUENZA</w:t>
      </w:r>
      <w:r w:rsidRPr="00247303">
        <w:rPr>
          <w:rFonts w:ascii="Arial" w:hAnsi="Arial" w:cs="Arial"/>
        </w:rPr>
        <w:t>:</w:t>
      </w:r>
      <w:bookmarkStart w:id="0" w:name="_GoBack"/>
      <w:bookmarkEnd w:id="0"/>
    </w:p>
    <w:p w:rsidR="00247303" w:rsidRPr="00247303" w:rsidRDefault="00247303" w:rsidP="00247303">
      <w:pPr>
        <w:rPr>
          <w:rFonts w:ascii="Arial" w:hAnsi="Arial" w:cs="Arial"/>
        </w:rPr>
      </w:pPr>
    </w:p>
    <w:p w:rsidR="00247303" w:rsidRPr="0033583C" w:rsidRDefault="00247303" w:rsidP="00247303">
      <w:pPr>
        <w:rPr>
          <w:rFonts w:ascii="Arial" w:hAnsi="Arial" w:cs="Arial"/>
          <w:color w:val="000000" w:themeColor="text1"/>
        </w:rPr>
      </w:pPr>
      <w:r w:rsidRPr="0033583C">
        <w:rPr>
          <w:rFonts w:ascii="Arial" w:hAnsi="Arial" w:cs="Arial"/>
          <w:color w:val="000000" w:themeColor="text1"/>
        </w:rPr>
        <w:t>Lo studente è obbligato a frequentare il 75 % del monte ore individualizzato. Il 20 % del monte ore di ogni singola disciplina può essere fruito in modalità “a distanza” purché vengano forniti idonei strumenti didattici. Fino ad un massimo di un ulteriore 10 % del monte ore personalizzato può essere inoltre scorporato dal periodo di frequenza obbligatoria in quanto lo studente condivide e sottoscrive, dopo un colloquio motivazionale, il Patto Formativo. Altre deroghe potranno essere concesse ai sensi della normativa vigente.</w:t>
      </w:r>
    </w:p>
    <w:p w:rsidR="00247303" w:rsidRPr="0033583C" w:rsidRDefault="00247303" w:rsidP="00247303">
      <w:pPr>
        <w:rPr>
          <w:rFonts w:ascii="Arial" w:hAnsi="Arial" w:cs="Arial"/>
          <w:color w:val="000000" w:themeColor="text1"/>
        </w:rPr>
      </w:pPr>
    </w:p>
    <w:p w:rsidR="00954842" w:rsidRPr="0033583C" w:rsidRDefault="00247303" w:rsidP="00247303">
      <w:pPr>
        <w:rPr>
          <w:rFonts w:ascii="Arial" w:hAnsi="Arial" w:cs="Arial"/>
          <w:color w:val="000000" w:themeColor="text1"/>
        </w:rPr>
      </w:pPr>
      <w:r w:rsidRPr="0033583C">
        <w:rPr>
          <w:rFonts w:ascii="Arial" w:hAnsi="Arial" w:cs="Arial"/>
          <w:color w:val="000000" w:themeColor="text1"/>
        </w:rPr>
        <w:t>Ogni periodo didattico è diviso in 2 quadrimestri. In merito al I e II periodo didattico, alla fine del I quadrimestre avverrà la valutazione intermedia che comunque, anche in caso di esito negativo, consentirà allo studente di accedere e frequentare il II quadrimestre dopo il quale si darà corso a scrutinio finale che individuerà i crediti acquisiti e validerà l’eventuale passaggio al periodo didattico successivo. Alla fine di ogni periodo didattico si rilascerà apposita certificazione con l’indicazione delle competenze e dei crediti acquisiti.</w:t>
      </w:r>
    </w:p>
    <w:sectPr w:rsidR="00954842" w:rsidRPr="003358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4E4"/>
    <w:multiLevelType w:val="multilevel"/>
    <w:tmpl w:val="899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E20B1"/>
    <w:multiLevelType w:val="hybridMultilevel"/>
    <w:tmpl w:val="A224A6A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75EE752F"/>
    <w:multiLevelType w:val="hybridMultilevel"/>
    <w:tmpl w:val="B150EED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AB"/>
    <w:rsid w:val="000D7527"/>
    <w:rsid w:val="001111AB"/>
    <w:rsid w:val="00164C3A"/>
    <w:rsid w:val="001665D1"/>
    <w:rsid w:val="00247303"/>
    <w:rsid w:val="0033583C"/>
    <w:rsid w:val="00954842"/>
    <w:rsid w:val="00E93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14EC8-9845-4F59-8968-4EFD3B8E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11A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54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2659">
      <w:bodyDiv w:val="1"/>
      <w:marLeft w:val="0"/>
      <w:marRight w:val="0"/>
      <w:marTop w:val="0"/>
      <w:marBottom w:val="0"/>
      <w:divBdr>
        <w:top w:val="none" w:sz="0" w:space="0" w:color="auto"/>
        <w:left w:val="none" w:sz="0" w:space="0" w:color="auto"/>
        <w:bottom w:val="none" w:sz="0" w:space="0" w:color="auto"/>
        <w:right w:val="none" w:sz="0" w:space="0" w:color="auto"/>
      </w:divBdr>
    </w:div>
    <w:div w:id="14527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2021-04-29T16:42:00Z</dcterms:created>
  <dcterms:modified xsi:type="dcterms:W3CDTF">2021-04-29T18:13:00Z</dcterms:modified>
</cp:coreProperties>
</file>